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BA2EB3" w:rsidP="00DC72DF">
                        <w:bookmarkStart w:id="1" w:name="PCRTitle"/>
                        <w:r w:rsidRPr="00ED1152">
                          <w:rPr>
                            <w:b/>
                            <w:noProof/>
                            <w:color w:val="FFFFFF" w:themeColor="background1"/>
                            <w:sz w:val="40"/>
                            <w:szCs w:val="40"/>
                          </w:rPr>
                          <w:t>Dämmstoffe aus Schaumkunststoffen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BA2EB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fldChar w:fldCharType="begin"/>
            </w:r>
            <w:r>
              <w:instrText xml:space="preserve"> HYPERLINK "http://www.ibu-epd.com" </w:instrText>
            </w:r>
            <w:r>
              <w:fldChar w:fldCharType="separate"/>
            </w:r>
            <w:r w:rsidRPr="00F36157" w:rsidR="00BA2EB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Hegelplatz</w:t>
      </w:r>
      <w:r w:rsidR="00C8554B">
        <w:t xml:space="preserve"> 1</w:t>
      </w:r>
      <w:r w:rsidRPr="002D3377">
        <w:br/>
      </w:r>
      <w:r w:rsidR="00C8554B">
        <w:t>101</w:t>
      </w:r>
      <w:r>
        <w:t>17</w:t>
      </w:r>
      <w:r w:rsidR="00C8554B">
        <w:t xml:space="preserve">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_1"/>
            <w:bookmarkStart w:id="18"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18"/>
          </w:p>
        </w:tc>
        <w:tc>
          <w:tcPr>
            <w:tcW w:w="5069" w:type="dxa"/>
          </w:tcPr>
          <w:p w:rsidR="007742AD" w:rsidP="006755A8">
            <w:pPr>
              <w:pStyle w:val="Standa"/>
              <w:numPr>
                <w:ilvl w:val="0"/>
                <w:numId w:val="0"/>
              </w:numPr>
              <w:spacing w:before="120" w:after="120" w:line="240" w:lineRule="auto"/>
              <w:jc w:val="left"/>
            </w:pPr>
            <w:bookmarkEnd w:id="17"/>
            <w:bookmarkStart w:id="19" w:name="PCR_Version_template_comment_1"/>
            <w:bookmarkStart w:id="20"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0"/>
          </w:p>
        </w:tc>
        <w:tc>
          <w:tcPr>
            <w:tcW w:w="1310" w:type="dxa"/>
          </w:tcPr>
          <w:p w:rsidR="007742AD" w:rsidP="006755A8">
            <w:pPr>
              <w:pStyle w:val="Standa"/>
              <w:numPr>
                <w:ilvl w:val="0"/>
                <w:numId w:val="0"/>
              </w:numPr>
              <w:spacing w:before="120" w:after="120" w:line="240" w:lineRule="auto"/>
              <w:jc w:val="left"/>
            </w:pPr>
            <w:bookmarkEnd w:id="19"/>
            <w:bookmarkStart w:id="21" w:name="PCR_Version_template_comment_Stand_1"/>
            <w:bookmarkStart w:id="22"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2"/>
            <w:bookmarkStart w:id="24"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2"/>
            <w:bookmarkStart w:id="26"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26"/>
          </w:p>
        </w:tc>
        <w:tc>
          <w:tcPr>
            <w:tcW w:w="1310" w:type="dxa"/>
          </w:tcPr>
          <w:p w:rsidR="007742AD" w:rsidRPr="000939DB" w:rsidP="006755A8">
            <w:pPr>
              <w:pStyle w:val="Standa"/>
              <w:numPr>
                <w:ilvl w:val="0"/>
                <w:numId w:val="0"/>
              </w:numPr>
              <w:spacing w:before="120" w:after="120" w:line="240" w:lineRule="auto"/>
              <w:jc w:val="left"/>
              <w:rPr>
                <w:lang w:val="en-US"/>
              </w:rPr>
            </w:pPr>
            <w:bookmarkEnd w:id="25"/>
            <w:bookmarkStart w:id="27" w:name="PCR_Version_template_comment_Stand_2"/>
            <w:bookmarkStart w:id="28"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2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27"/>
            <w:bookmarkStart w:id="29"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29"/>
          </w:p>
        </w:tc>
        <w:tc>
          <w:tcPr>
            <w:tcW w:w="5069" w:type="dxa"/>
          </w:tcPr>
          <w:p w:rsidR="006755A8" w:rsidRPr="000939DB" w:rsidP="006755A8">
            <w:pPr>
              <w:numPr>
                <w:ilvl w:val="0"/>
                <w:numId w:val="0"/>
              </w:numPr>
              <w:rPr>
                <w:rFonts w:eastAsia="MS Mincho"/>
                <w:sz w:val="20"/>
                <w:lang w:val="en-US" w:eastAsia="ja-JP" w:bidi="de-DE"/>
              </w:rPr>
            </w:pPr>
            <w:bookmarkStart w:id="30"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0"/>
          </w:p>
        </w:tc>
        <w:tc>
          <w:tcPr>
            <w:tcW w:w="1310" w:type="dxa"/>
          </w:tcPr>
          <w:p w:rsidR="006755A8" w:rsidRPr="000939DB" w:rsidP="006755A8">
            <w:pPr>
              <w:pStyle w:val="Standa"/>
              <w:numPr>
                <w:ilvl w:val="0"/>
                <w:numId w:val="0"/>
              </w:numPr>
              <w:spacing w:before="120" w:after="120" w:line="240" w:lineRule="auto"/>
              <w:jc w:val="left"/>
              <w:rPr>
                <w:lang w:val="en-US"/>
              </w:rPr>
            </w:pPr>
            <w:bookmarkStart w:id="31"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1"/>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2"/>
          </w:p>
        </w:tc>
        <w:tc>
          <w:tcPr>
            <w:tcW w:w="5069" w:type="dxa"/>
          </w:tcPr>
          <w:p w:rsidR="006755A8" w:rsidRPr="000939DB" w:rsidP="006755A8">
            <w:pPr>
              <w:pStyle w:val="Standa"/>
              <w:numPr>
                <w:ilvl w:val="0"/>
                <w:numId w:val="0"/>
              </w:numPr>
              <w:spacing w:before="120" w:after="120" w:line="240" w:lineRule="auto"/>
              <w:jc w:val="left"/>
              <w:rPr>
                <w:lang w:val="en-US"/>
              </w:rPr>
            </w:pPr>
            <w:bookmarkStart w:id="33"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3"/>
          </w:p>
        </w:tc>
        <w:tc>
          <w:tcPr>
            <w:tcW w:w="1310" w:type="dxa"/>
          </w:tcPr>
          <w:p w:rsidR="006755A8" w:rsidRPr="000939DB" w:rsidP="006755A8">
            <w:pPr>
              <w:pStyle w:val="Standa"/>
              <w:numPr>
                <w:ilvl w:val="0"/>
                <w:numId w:val="0"/>
              </w:numPr>
              <w:spacing w:before="120" w:after="120" w:line="240" w:lineRule="auto"/>
              <w:jc w:val="left"/>
              <w:rPr>
                <w:lang w:val="en-US"/>
              </w:rPr>
            </w:pPr>
            <w:bookmarkStart w:id="34"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35"/>
          </w:p>
        </w:tc>
        <w:tc>
          <w:tcPr>
            <w:tcW w:w="5069" w:type="dxa"/>
          </w:tcPr>
          <w:p w:rsidR="00B72B96" w:rsidRPr="000939DB" w:rsidP="006755A8">
            <w:pPr>
              <w:pStyle w:val="Standa"/>
              <w:numPr>
                <w:ilvl w:val="0"/>
                <w:numId w:val="0"/>
              </w:numPr>
              <w:spacing w:before="120" w:after="120" w:line="240" w:lineRule="auto"/>
              <w:jc w:val="left"/>
              <w:rPr>
                <w:lang w:val="en-US"/>
              </w:rPr>
            </w:pPr>
            <w:bookmarkStart w:id="36"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36"/>
          </w:p>
        </w:tc>
        <w:tc>
          <w:tcPr>
            <w:tcW w:w="1310" w:type="dxa"/>
          </w:tcPr>
          <w:p w:rsidR="00B72B96" w:rsidRPr="000939DB" w:rsidP="006755A8">
            <w:pPr>
              <w:pStyle w:val="Standa"/>
              <w:numPr>
                <w:ilvl w:val="0"/>
                <w:numId w:val="0"/>
              </w:numPr>
              <w:spacing w:before="120" w:after="120" w:line="240" w:lineRule="auto"/>
              <w:jc w:val="left"/>
              <w:rPr>
                <w:lang w:val="en-US"/>
              </w:rPr>
            </w:pPr>
            <w:bookmarkStart w:id="37"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37"/>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38"/>
          </w:p>
        </w:tc>
        <w:tc>
          <w:tcPr>
            <w:tcW w:w="5069" w:type="dxa"/>
          </w:tcPr>
          <w:p w:rsidR="00B72B96" w:rsidRPr="000939DB" w:rsidP="006755A8">
            <w:pPr>
              <w:pStyle w:val="Standa"/>
              <w:numPr>
                <w:ilvl w:val="0"/>
                <w:numId w:val="0"/>
              </w:numPr>
              <w:spacing w:before="120" w:after="120" w:line="240" w:lineRule="auto"/>
              <w:jc w:val="left"/>
              <w:rPr>
                <w:lang w:val="en-US"/>
              </w:rPr>
            </w:pPr>
            <w:bookmarkStart w:id="39"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39"/>
          </w:p>
        </w:tc>
        <w:tc>
          <w:tcPr>
            <w:tcW w:w="1310" w:type="dxa"/>
          </w:tcPr>
          <w:p w:rsidR="00B72B96" w:rsidRPr="000939DB" w:rsidP="006755A8">
            <w:pPr>
              <w:pStyle w:val="Standa"/>
              <w:numPr>
                <w:ilvl w:val="0"/>
                <w:numId w:val="0"/>
              </w:numPr>
              <w:spacing w:before="120" w:after="120" w:line="240" w:lineRule="auto"/>
              <w:jc w:val="left"/>
              <w:rPr>
                <w:lang w:val="en-US"/>
              </w:rPr>
            </w:pPr>
            <w:bookmarkStart w:id="40"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0"/>
          </w:p>
        </w:tc>
      </w:tr>
      <w:tr w:rsidTr="006755A8">
        <w:tblPrEx>
          <w:tblW w:w="0" w:type="auto"/>
          <w:tblInd w:w="142" w:type="dxa"/>
          <w:tblLayout w:type="fixed"/>
          <w:tblLook w:val="00A0"/>
        </w:tblPrEx>
        <w:tc>
          <w:tcPr>
            <w:tcW w:w="1276" w:type="dxa"/>
          </w:tcPr>
          <w:p w:rsidR="007411A1" w:rsidP="006755A8">
            <w:pPr>
              <w:pStyle w:val="Standa"/>
              <w:numPr>
                <w:ilvl w:val="0"/>
                <w:numId w:val="0"/>
              </w:numPr>
              <w:spacing w:before="120" w:after="120" w:line="240" w:lineRule="auto"/>
              <w:jc w:val="left"/>
              <w:rPr>
                <w:lang w:val="en-US"/>
              </w:rPr>
            </w:pPr>
            <w:bookmarkStart w:id="41"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41"/>
          </w:p>
        </w:tc>
        <w:tc>
          <w:tcPr>
            <w:tcW w:w="5069" w:type="dxa"/>
          </w:tcPr>
          <w:p w:rsidR="007411A1" w:rsidP="006755A8">
            <w:pPr>
              <w:pStyle w:val="Standa"/>
              <w:numPr>
                <w:ilvl w:val="0"/>
                <w:numId w:val="0"/>
              </w:numPr>
              <w:spacing w:before="120" w:after="120" w:line="240" w:lineRule="auto"/>
              <w:jc w:val="left"/>
              <w:rPr>
                <w:lang w:val="en-US"/>
              </w:rPr>
            </w:pPr>
            <w:bookmarkStart w:id="42"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Anpassung im Kapitel 7 gemäß des SVR-Beschlusses Nr. 20181019-l</w:t>
            </w:r>
            <w:bookmarkEnd w:id="42"/>
          </w:p>
        </w:tc>
        <w:tc>
          <w:tcPr>
            <w:tcW w:w="1310" w:type="dxa"/>
          </w:tcPr>
          <w:p w:rsidR="007411A1" w:rsidP="006755A8">
            <w:pPr>
              <w:pStyle w:val="Standa"/>
              <w:numPr>
                <w:ilvl w:val="0"/>
                <w:numId w:val="0"/>
              </w:numPr>
              <w:spacing w:before="120" w:after="120" w:line="240" w:lineRule="auto"/>
              <w:jc w:val="left"/>
              <w:rPr>
                <w:lang w:val="en-US"/>
              </w:rPr>
            </w:pPr>
            <w:bookmarkStart w:id="43"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43"/>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44" w:name="PCR_Version_template_8"/>
            <w:r>
              <w:rPr>
                <w:lang w:val="en-US"/>
              </w:rPr>
              <w:t xml:space="preserve">  </w:t>
            </w:r>
            <w:bookmarkEnd w:id="44"/>
          </w:p>
        </w:tc>
        <w:tc>
          <w:tcPr>
            <w:tcW w:w="5069" w:type="dxa"/>
          </w:tcPr>
          <w:p w:rsidR="00E1171D" w:rsidP="006755A8">
            <w:pPr>
              <w:pStyle w:val="Standa"/>
              <w:spacing w:before="120" w:after="120" w:line="240" w:lineRule="auto"/>
              <w:jc w:val="left"/>
              <w:rPr>
                <w:lang w:val="en-US"/>
              </w:rPr>
            </w:pPr>
            <w:bookmarkStart w:id="45" w:name="PCR_Version_template_comment_8"/>
            <w:r>
              <w:rPr>
                <w:lang w:val="en-US"/>
              </w:rPr>
              <w:t xml:space="preserve">  </w:t>
            </w:r>
            <w:bookmarkEnd w:id="45"/>
          </w:p>
        </w:tc>
        <w:tc>
          <w:tcPr>
            <w:tcW w:w="1310" w:type="dxa"/>
          </w:tcPr>
          <w:p w:rsidR="00E1171D" w:rsidP="006755A8">
            <w:pPr>
              <w:pStyle w:val="Standa"/>
              <w:spacing w:before="120" w:after="120" w:line="240" w:lineRule="auto"/>
              <w:jc w:val="left"/>
              <w:rPr>
                <w:lang w:val="en-US"/>
              </w:rPr>
            </w:pPr>
            <w:bookmarkStart w:id="46" w:name="PCR_Version_template_comment_Stand_8"/>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04.11.2016</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07.12.2016</w:t>
            </w:r>
            <w:bookmarkEnd w:id="5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3"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53"/>
          </w:p>
        </w:tc>
        <w:tc>
          <w:tcPr>
            <w:tcW w:w="5069" w:type="dxa"/>
          </w:tcPr>
          <w:p w:rsidR="007742AD" w:rsidP="006755A8">
            <w:pPr>
              <w:pStyle w:val="Standa"/>
              <w:numPr>
                <w:ilvl w:val="0"/>
                <w:numId w:val="0"/>
              </w:numPr>
              <w:spacing w:before="120" w:after="120" w:line="240" w:lineRule="auto"/>
              <w:jc w:val="left"/>
            </w:pPr>
            <w:bookmarkStart w:id="54" w:name="PCR_Version_specific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07.06.2017</w:t>
            </w:r>
            <w:bookmarkEnd w:id="54"/>
          </w:p>
        </w:tc>
        <w:tc>
          <w:tcPr>
            <w:tcW w:w="1310" w:type="dxa"/>
          </w:tcPr>
          <w:p w:rsidR="007742AD" w:rsidP="006755A8">
            <w:pPr>
              <w:pStyle w:val="Standa"/>
              <w:numPr>
                <w:ilvl w:val="0"/>
                <w:numId w:val="0"/>
              </w:numPr>
              <w:spacing w:before="120" w:after="120" w:line="240" w:lineRule="auto"/>
              <w:jc w:val="left"/>
            </w:pPr>
            <w:bookmarkStart w:id="55" w:name="PCR_Version_Stand_2"/>
            <w:bookmarkStart w:id="56" w:name="PCR_Version_Stand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07.06.2017</w:t>
            </w:r>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55"/>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Dämmstoffe aus Schaumkunststoffen, z.B. Hartschaumkunststoffe, Weichschaumkunststoffe und Strukturschaumkunststoffe, Wärmedämmstoffe für die technische Gebäudeausrüstung und für betriebstechnische Anlagen in der Industrie - Werkmäßig hergestellte Produkte aus Polyethylenschaum (PEF) und Wärmedämmstoffe für die technische Gebäudeausrüstung und für betriebstechnische Anlagen in der Industrie - Werkmäßig hergestellte Produkte aus flexiblem Elastomerschaum (FEF)</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Konstruktionsplatten aus Schaumkunststoffen</w:t>
      </w:r>
    </w:p>
    <w:p>
      <w:pPr>
        <w:pStyle w:val="Normal4"/>
        <w:numPr>
          <w:ilvl w:val="0"/>
          <w:numId w:val="24"/>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Werkmäßig hergestellte Produkte (Platten) aus Polyurethan-Hartschäumen (PUR) für die Verwendung bei Konstruktionen im Innen- und Außenbereich</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BA2EB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BA2EB3"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BA2EB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BA2EB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BA2EB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Hegelplatz</w:t>
            </w:r>
            <w:r w:rsidR="00C8554B">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w:t>
            </w:r>
            <w:r w:rsidR="003148DC">
              <w:rPr>
                <w:w w:val="87"/>
                <w:sz w:val="18"/>
              </w:rPr>
              <w:t>17</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06.2017</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w:t>
            </w:r>
            <w:r w:rsidR="00471522">
              <w:rPr>
                <w:i/>
                <w:w w:val="87"/>
                <w:sz w:val="18"/>
              </w:rPr>
              <w:t>1</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Polyurethan-Hartschaum (PU) ist ein geschlossenzelliger Schaumstoff, der als werkmäßig hergestellter Wärmedämmstoff in Form von Dämmplatten mit oder ohne Deckschichten im Hochbau und für haus- und betriebstechnischen Anlagen eingesetzt wird. Die Produktfamilie der Polyurethan-Dämmstoffe umfasst PUR und PIR.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2C3D7C">
        <w:t xml:space="preserve"> </w:t>
      </w:r>
      <w:r w:rsidR="003A0B76">
        <w:t>In der nachfolgenden Tabelle sind</w:t>
      </w:r>
      <w:r w:rsidR="002C3D7C">
        <w:t xml:space="preserve"> die für das Produkt relevanten Eigenschaften a</w:t>
      </w:r>
      <w:r w:rsidR="003A0B76">
        <w:t>nzugeben</w:t>
      </w:r>
      <w:r w:rsidR="002C3D7C">
        <w:t xml:space="preserve">. </w:t>
      </w:r>
      <w:r w:rsidR="003A0B76">
        <w:t>Werden für Eigenschaften keine Angaben gemacht, ist im Hintergrund</w:t>
      </w:r>
      <w:r w:rsidR="000044C4">
        <w:t>bericht</w:t>
      </w:r>
      <w:r w:rsidR="003A0B76">
        <w:t xml:space="preserve"> zur EPD zu erläutern, warum die Eigenschaft für das Produkt nicht relevant ist.</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 bei 23 °C, 80 %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(sofern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Dynamische Steifigkeit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29052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Kriechverhalten bzw. Dauerdruckfestigkeit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1606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Wasseraufnahme nach Diffusion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Maximale 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12091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Wasserabsorbtion durch Kapillarität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15801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 xml:space="preserve">Auflistung der CMR-Stoffe, Angaben zur Konzentration bzw. zum Konzentrationsbereich (analog zu den Angaben in einem Sicherheitsdatenblatt), Angabe der gefährlichen </w:t>
      </w:r>
      <w:r w:rsidRPr="00443046">
        <w:t>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r w:rsidR="00103041">
        <w:t>, sofern sie unterschiedlich sind.</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 xml:space="preserve">In solchen Fällen darf die Nutzungsdauer nach BBSR-Tabelle „Nutzungsdauern von Bauteilen zur Lebenszyklusanalyse nach BNB“ unter Berücksichtigung des Erläuterungsdokuments zur BBSR-Tabelle genannt werden </w:t>
      </w:r>
      <w:r w:rsidRPr="00A8734D">
        <w:t>(</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w:t>
      </w:r>
      <w:r w:rsidR="00EF6499">
        <w:t xml:space="preserve"> und </w:t>
      </w:r>
      <w:r>
        <w:t>der Massebezug sind in der dafür vorgesehenen Tabelle wie deklariert anzugeben</w:t>
      </w:r>
      <w:r>
        <w:t>.</w:t>
      </w:r>
      <w:r w:rsidR="0050572D">
        <w:t xml:space="preserve"> </w:t>
      </w:r>
      <w:bookmarkStart w:id="145" w:name="_GoBack"/>
      <w:r w:rsidR="0050572D">
        <w:t>Stehen mehrere Einheiten zur Auswahl, ist eine geeignete auszuwählen.</w:t>
      </w:r>
      <w:r w:rsidRPr="00E722BF" w:rsidR="00E722BF">
        <w:t xml:space="preserve"> </w:t>
      </w:r>
      <w:bookmarkEnd w:id="145"/>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6"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für Dämmstoffe aus Schaumkunststoffen ist 1 m³. Für beschichtete Platten kann als deklarierte Einheit 1 m² gewählt werden, wenn die Umrechnung zu 1 m³ transparent dargestellt wird. Der Massebezug ist anzugeben.                        Andere Deklarierte Einheiten sind zulässig, wenn die Umrechnung auf die aufgeführten möglichen deklarierten Einheiten transparent dargestellt wird. Zusätzlich kann die Wärmeleitfähigkeit [λ] = W / (mK) deklariert werden.</w:t>
      </w:r>
      <w:bookmarkEnd w:id="146"/>
      <w:r w:rsidR="00AD5163">
        <w:t xml:space="preserve"> </w:t>
      </w:r>
      <w:bookmarkEnd w:id="144"/>
      <w:bookmarkStart w:id="147"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λ</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7"/>
      <w:bookmarkStart w:id="148"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9"/>
    </w:p>
    <w:p w:rsidR="009A14BB" w:rsidRPr="00026074" w:rsidP="00A300D9"/>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2" w:name="PCR_3_8_Allokation"/>
      <w:r w:rsidR="001A5832">
        <w:rPr>
          <w:noProof/>
        </w:rPr>
        <w:t xml:space="preserve">  </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8"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9"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9"/>
      <w:r>
        <w:t xml:space="preserve"> </w:t>
      </w:r>
      <w:bookmarkStart w:id="170"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p>
    <w:p w:rsidR="00EA6B0D" w:rsidP="00F122C0"/>
    <w:p w:rsidR="00063F32" w:rsidP="00A300D9">
      <w:bookmarkEnd w:id="168"/>
      <w:bookmarkStart w:id="171"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1"/>
      <w:r w:rsidR="00F97600">
        <w:t xml:space="preserve"> </w:t>
      </w:r>
      <w:bookmarkStart w:id="172"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8"/>
      <w:bookmarkStart w:id="179"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3" w:name="PCRTemplate_LCA_Heading"/>
      <w:bookmarkEnd w:id="183"/>
      <w:bookmarkStart w:id="184" w:name="PCRTemplate_LCA_Property"/>
      <w:bookmarkEnd w:id="184"/>
    </w:p>
    <w:p w:rsidR="00BE2D9B" w:rsidP="00AD2134">
      <w:pPr>
        <w:pStyle w:val="StandardtechnDateneinspaltig"/>
        <w:tabs>
          <w:tab w:val="clear" w:pos="4111"/>
          <w:tab w:val="right" w:pos="4395"/>
        </w:tabs>
        <w:ind w:left="0"/>
      </w:pPr>
      <w:bookmarkStart w:id="185" w:name="PCRTemplate_LCA_Text"/>
      <w:bookmarkEnd w:id="185"/>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6"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6"/>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26"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26"/>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WDP"/>
            <w:r>
              <w:rPr>
                <w:rFonts w:cs="Arial"/>
                <w:spacing w:val="-4"/>
                <w:sz w:val="14"/>
                <w:szCs w:val="14"/>
              </w:rPr>
              <w:t>WDP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28" w:name="_Hlk80613526"/>
            <w:r w:rsidRPr="005E5695">
              <w:rPr>
                <w:rFonts w:cs="Arial"/>
                <w:sz w:val="14"/>
                <w:szCs w:val="14"/>
              </w:rPr>
              <w:t>Wasser</w:t>
            </w:r>
            <w:r w:rsidR="00DF7747">
              <w:rPr>
                <w:rFonts w:cs="Arial"/>
                <w:sz w:val="14"/>
                <w:szCs w:val="14"/>
              </w:rPr>
              <w:t>-Entzugspotenzial (Benutzer)</w:t>
            </w:r>
            <w:bookmarkEnd w:id="228"/>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w:t>
            </w:r>
            <w:r w:rsidR="00DF7747">
              <w:rPr>
                <w:rFonts w:cs="Arial"/>
                <w:spacing w:val="-4"/>
                <w:sz w:val="14"/>
                <w:szCs w:val="14"/>
              </w:rPr>
              <w:t>-Entzugspotenzial (Benutzer)</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46"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46"/>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3"/>
      <w:bookmarkEnd w:id="247"/>
      <w:bookmarkStart w:id="248"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56"/>
      <w:r w:rsidR="00A85DD5">
        <w:t xml:space="preserve"> </w:t>
      </w:r>
      <w:r w:rsidR="007F464E">
        <w:t xml:space="preserve"> </w:t>
      </w:r>
      <w:bookmarkEnd w:id="255"/>
      <w:r w:rsidR="008E1FD5">
        <w:t xml:space="preserve"> </w:t>
      </w:r>
      <w:bookmarkStart w:id="257" w:name="PCRLCA_Kapitel_7_Nachweis_1"/>
    </w:p>
    <w:p w:rsidR="007F464E">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57"/>
      <w:r>
        <w:t xml:space="preserve"> </w:t>
      </w:r>
      <w:bookmarkStart w:id="258" w:name="EPDEdit_ibu_Kapitel_7_Nachweis_2"/>
      <w:r w:rsidR="00A85DD5">
        <w:t xml:space="preserve"> </w:t>
      </w:r>
      <w:r>
        <w:t xml:space="preserve"> </w:t>
      </w:r>
      <w:bookmarkStart w:id="25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Ergänzend kann der Nachweis über folgende Prüfverfahren bzw. landesspezifische Nachweismethoden erfolgen: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Emissionsklassen A+, A, B oder C gemäß französischer Verordnung „Décret n° 2011-321</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59"/>
      <w:r w:rsidR="00A85DD5">
        <w:t xml:space="preserve"> </w:t>
      </w:r>
      <w:r w:rsidR="008E1FD5">
        <w:t xml:space="preserve"> </w:t>
      </w:r>
      <w:bookmarkEnd w:id="258"/>
      <w:r w:rsidR="007F464E">
        <w:t xml:space="preserve"> </w:t>
      </w:r>
      <w:bookmarkStart w:id="260" w:name="PCRLCA_Kapitel_7_Nachweis_2"/>
    </w:p>
    <w:p w:rsidR="007F464E">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0"/>
      <w:r>
        <w:t xml:space="preserve"> </w:t>
      </w:r>
      <w:bookmarkStart w:id="261" w:name="EPDEdit_ibu_Kapitel_7_Nachweis_3"/>
      <w:r w:rsidR="00A85DD5">
        <w:t xml:space="preserve"> </w:t>
      </w:r>
      <w:r>
        <w:t xml:space="preserve"> </w:t>
      </w:r>
      <w:bookmarkStart w:id="262"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des Auslaugverhaltens (Eluat-Analyse) unter Nennung des Meßverfahrens sofern für den Anwendungsbereich relevant, z.B. in Anlehnung an DIN EN 12457/1-4 oder DIN/CEN TS 14405 in Verbindung mit der Entschei¬dung des Rates vom 19.12.2002 (2002/33/EC).</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EN 15804:2012+A1</w:t>
      </w:r>
      <w:r w:rsidR="00E3578F">
        <w:t>:</w:t>
      </w:r>
      <w:r w:rsidRPr="00FE5AE1">
        <w:t xml:space="preserve">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w:t>
      </w:r>
      <w:r w:rsidR="00E3578F">
        <w:t>012</w:t>
      </w:r>
      <w:r w:rsidRPr="00FE5AE1">
        <w:t>+A</w:t>
      </w:r>
      <w:r>
        <w:t>2</w:t>
      </w:r>
      <w:r w:rsidR="00E3578F">
        <w:t>:2019</w:t>
      </w:r>
      <w:r w:rsidR="00942E2D">
        <w:t>+AC:2021</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EN ISO 14025:2011,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w:t>
      </w:r>
      <w:r w:rsidR="009143A3">
        <w:rPr>
          <w:b/>
        </w:rPr>
        <w:t>21</w:t>
      </w:r>
    </w:p>
    <w:p w:rsidR="00DE6F49" w:rsidP="00DE6F49">
      <w:r>
        <w:t>Institut Bauen und Umwelt e.V.</w:t>
      </w:r>
      <w:r w:rsidRPr="00940FD0">
        <w:t>:</w:t>
      </w:r>
      <w:r>
        <w:t xml:space="preserve"> </w:t>
      </w:r>
      <w:r w:rsidRPr="00940FD0">
        <w:t xml:space="preserve">Allgemeine </w:t>
      </w:r>
      <w:r w:rsidR="009143A3">
        <w:t>Anleitung für das EPD-Programm des Institut Bauen und Umwelt e.V., Version 2.0</w:t>
      </w:r>
      <w:r>
        <w:t>, Berlin: I</w:t>
      </w:r>
      <w:r w:rsidRPr="00940FD0">
        <w:t>nstitut Bauen und Umwelt e.V.</w:t>
      </w:r>
      <w:r>
        <w:t>, 20</w:t>
      </w:r>
      <w:r w:rsidR="009143A3">
        <w:t>21</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 xml:space="preserve">Hegelplatz </w:t>
            </w:r>
            <w:r>
              <w:rPr>
                <w:sz w:val="16"/>
                <w:szCs w:val="16"/>
              </w:rPr>
              <w:t>1</w:t>
            </w:r>
          </w:p>
          <w:p w:rsidR="00577C37" w:rsidRPr="007A3E11" w:rsidP="00C35E68">
            <w:pPr>
              <w:tabs>
                <w:tab w:val="left" w:pos="3010"/>
                <w:tab w:val="left" w:pos="3577"/>
              </w:tabs>
              <w:rPr>
                <w:sz w:val="16"/>
                <w:szCs w:val="16"/>
              </w:rPr>
            </w:pPr>
            <w:r>
              <w:rPr>
                <w:sz w:val="16"/>
                <w:szCs w:val="16"/>
              </w:rPr>
              <w:t>10</w:t>
            </w:r>
            <w:r w:rsidR="00C05FC7">
              <w:rPr>
                <w:sz w:val="16"/>
                <w:szCs w:val="16"/>
              </w:rPr>
              <w:t>117</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 xml:space="preserve">Hegelplatz </w:t>
            </w:r>
            <w:r w:rsidR="00C8554B">
              <w:rPr>
                <w:sz w:val="16"/>
                <w:szCs w:val="16"/>
              </w:rPr>
              <w:t>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w:t>
            </w:r>
            <w:r w:rsidR="003148DC">
              <w:rPr>
                <w:sz w:val="16"/>
                <w:szCs w:val="16"/>
              </w:rPr>
              <w:t xml:space="preserve">17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BA2EB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BA2EB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BA2EB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BA2EB3"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BA2EB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A36FB4">
    <w:pPr>
      <w:pStyle w:val="Header"/>
      <w:tabs>
        <w:tab w:val="left" w:pos="2310"/>
        <w:tab w:val="clear" w:pos="4536"/>
        <w:tab w:val="clear" w:pos="9072"/>
      </w:tabs>
      <w:jc w:val="right"/>
      <w:rPr>
        <w:rFonts w:cs="Arial"/>
        <w:sz w:val="28"/>
        <w:szCs w:val="28"/>
      </w:rPr>
    </w:pPr>
  </w:p>
  <w:p w:rsidR="00BA2EB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BA2EB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A2EB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A93E2-99DF-4430-99C8-51B26A1C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5564</Words>
  <Characters>35055</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4</cp:revision>
  <cp:lastPrinted>2012-03-14T16:45:00Z</cp:lastPrinted>
  <dcterms:created xsi:type="dcterms:W3CDTF">2022-04-01T12:36:00Z</dcterms:created>
  <dcterms:modified xsi:type="dcterms:W3CDTF">2022-04-01T13:22:00Z</dcterms:modified>
</cp:coreProperties>
</file>