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bookmarkStart w:id="1" w:name="_GoBack"/>
            <w:bookmarkEnd w:id="1"/>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25D4" w:rsidP="00DC72DF">
                        <w:bookmarkStart w:id="2" w:name="PCRTitle"/>
                        <w:r w:rsidRPr="00ED1152">
                          <w:rPr>
                            <w:b/>
                            <w:noProof/>
                            <w:color w:val="FFFFFF" w:themeColor="background1"/>
                            <w:sz w:val="40"/>
                            <w:szCs w:val="40"/>
                          </w:rPr>
                          <w:t>Einblasdämmstoffe aus Zellulose- und Holzfasern</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25D4"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Erste PCR Dämmstoffe aus Zellulosefasern.</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05.05.2015</w:t>
            </w:r>
            <w:bookmarkEnd w:id="5"/>
          </w:p>
        </w:tc>
      </w:tr>
      <w:tr w:rsidTr="00442E6E">
        <w:tblPrEx>
          <w:tblW w:w="0" w:type="auto"/>
          <w:tblInd w:w="142" w:type="dxa"/>
          <w:tblLayout w:type="fixed"/>
          <w:tblLook w:val="00A0"/>
        </w:tblPrEx>
        <w:tc>
          <w:tcPr>
            <w:tcW w:w="1276" w:type="dxa"/>
          </w:tcPr>
          <w:p w:rsidR="001A1029" w:rsidRPr="002D3377" w:rsidP="00F4549C">
            <w:pPr>
              <w:pStyle w:val="Standa"/>
              <w:numPr>
                <w:ilvl w:val="0"/>
                <w:numId w:val="0"/>
              </w:numPr>
              <w:spacing w:before="120" w:after="120" w:line="240" w:lineRule="auto"/>
              <w:jc w:val="left"/>
            </w:pPr>
            <w:bookmarkStart w:id="6" w:name="PCR_Version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6"/>
          </w:p>
        </w:tc>
        <w:tc>
          <w:tcPr>
            <w:tcW w:w="5069" w:type="dxa"/>
          </w:tcPr>
          <w:p w:rsidR="001A1029" w:rsidP="00A67B8F">
            <w:pPr>
              <w:pStyle w:val="Standa"/>
              <w:numPr>
                <w:ilvl w:val="0"/>
                <w:numId w:val="0"/>
              </w:numPr>
              <w:spacing w:before="120" w:after="120" w:line="240" w:lineRule="auto"/>
              <w:jc w:val="left"/>
            </w:pPr>
            <w:bookmarkStart w:id="7" w:name="PCR_Version_Kommentar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um Dämmstoffe aus Zellulose- und Holzfasern</w:t>
            </w:r>
            <w:bookmarkEnd w:id="7"/>
          </w:p>
        </w:tc>
        <w:tc>
          <w:tcPr>
            <w:tcW w:w="1310" w:type="dxa"/>
          </w:tcPr>
          <w:p w:rsidR="001A1029" w:rsidP="00F4549C">
            <w:pPr>
              <w:pStyle w:val="Standa"/>
              <w:numPr>
                <w:ilvl w:val="0"/>
                <w:numId w:val="0"/>
              </w:numPr>
              <w:spacing w:before="120" w:after="120" w:line="240" w:lineRule="auto"/>
              <w:jc w:val="left"/>
            </w:pPr>
            <w:bookmarkStart w:id="8" w:name="PCR_Version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14.12.2017</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18" w:name="PCR_Version_template"/>
            <w:bookmarkStart w:id="19" w:name="PCR_Version_6"/>
            <w:r w:rsidRPr="002D3377">
              <w:t>1.0</w:t>
            </w:r>
            <w:r>
              <w:t xml:space="preserve"> </w:t>
            </w:r>
            <w:bookmarkEnd w:id="18"/>
            <w:bookmarkEnd w:id="19"/>
          </w:p>
        </w:tc>
        <w:tc>
          <w:tcPr>
            <w:tcW w:w="5069" w:type="dxa"/>
          </w:tcPr>
          <w:p w:rsidR="007742AD" w:rsidRPr="002D3377" w:rsidP="006755A8">
            <w:pPr>
              <w:pStyle w:val="Standa"/>
              <w:numPr>
                <w:ilvl w:val="0"/>
                <w:numId w:val="0"/>
              </w:numPr>
              <w:spacing w:before="120" w:after="120" w:line="240" w:lineRule="auto"/>
              <w:jc w:val="left"/>
            </w:pPr>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Anpassungen in Kapitel 2.1, 2.3 gemäß SVR Beschluss Nr. 20160715 m+n+o+p</w:t>
            </w:r>
            <w:bookmarkEnd w:id="21"/>
          </w:p>
        </w:tc>
        <w:tc>
          <w:tcPr>
            <w:tcW w:w="1310" w:type="dxa"/>
          </w:tcPr>
          <w:p w:rsidR="007742AD" w:rsidRPr="002D3377" w:rsidP="006755A8">
            <w:pPr>
              <w:pStyle w:val="Standa"/>
              <w:numPr>
                <w:ilvl w:val="0"/>
                <w:numId w:val="0"/>
              </w:numPr>
              <w:spacing w:before="120" w:after="120" w:line="240" w:lineRule="auto"/>
              <w:jc w:val="left"/>
            </w:pPr>
            <w:bookmarkStart w:id="22" w:name="PCR_Version_Stand_6"/>
            <w:bookmarkEnd w:id="20"/>
            <w:bookmarkStart w:id="23" w:name="PCR_Version_template_comment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26.09.2016</w:t>
            </w:r>
            <w:bookmarkEnd w:id="23"/>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Umsetzung der SVR Beschlüsse Nr. 20170315-e; Nr. 20170315-j; Nr. 20170315-k; Nr. 20170315-i</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10.04.2017</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8"/>
            <w:bookmarkStart w:id="30" w:name="PCR_Version_template_2"/>
            <w:bookmarkStart w:id="31"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p>
        </w:tc>
        <w:tc>
          <w:tcPr>
            <w:tcW w:w="5069" w:type="dxa"/>
          </w:tcPr>
          <w:p w:rsidR="007742AD" w:rsidP="006755A8">
            <w:pPr>
              <w:pStyle w:val="Standa"/>
              <w:numPr>
                <w:ilvl w:val="0"/>
                <w:numId w:val="0"/>
              </w:numPr>
              <w:spacing w:before="120" w:after="120" w:line="240" w:lineRule="auto"/>
              <w:jc w:val="left"/>
            </w:pPr>
            <w:bookmarkEnd w:id="30"/>
            <w:bookmarkStart w:id="32" w:name="PCR_Version_template_comment_2"/>
            <w:bookmarkStart w:id="33"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Umsetzung der SVR Beschlüsse Beschluss-Nr. 20171027-i + Beschluss-Nr. 20161104-j </w:t>
            </w:r>
            <w:bookmarkEnd w:id="33"/>
          </w:p>
        </w:tc>
        <w:tc>
          <w:tcPr>
            <w:tcW w:w="1310" w:type="dxa"/>
          </w:tcPr>
          <w:p w:rsidR="007742AD" w:rsidRPr="000939DB" w:rsidP="006755A8">
            <w:pPr>
              <w:pStyle w:val="Standa"/>
              <w:numPr>
                <w:ilvl w:val="0"/>
                <w:numId w:val="0"/>
              </w:numPr>
              <w:spacing w:before="120" w:after="120" w:line="240" w:lineRule="auto"/>
              <w:jc w:val="left"/>
              <w:rPr>
                <w:lang w:val="en-US"/>
              </w:rPr>
            </w:pPr>
            <w:bookmarkEnd w:id="32"/>
            <w:bookmarkStart w:id="34" w:name="PCR_Version_template_comment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30.11.2017</w:t>
            </w:r>
            <w:bookmarkEnd w:id="35"/>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End w:id="34"/>
            <w:bookmarkStart w:id="36" w:name="PCR_Version_template_3"/>
            <w:r w:rsidRPr="000939DB">
              <w:rPr>
                <w:lang w:val="en-US"/>
              </w:rPr>
              <w:t xml:space="preserve">  </w:t>
            </w:r>
            <w:bookmarkEnd w:id="36"/>
          </w:p>
        </w:tc>
        <w:tc>
          <w:tcPr>
            <w:tcW w:w="5069" w:type="dxa"/>
          </w:tcPr>
          <w:p w:rsidR="006755A8" w:rsidRPr="000939DB" w:rsidP="006755A8">
            <w:pPr>
              <w:rPr>
                <w:rFonts w:eastAsia="MS Mincho"/>
                <w:sz w:val="20"/>
                <w:lang w:val="en-US" w:eastAsia="ja-JP" w:bidi="de-DE"/>
              </w:rPr>
            </w:pPr>
            <w:bookmarkStart w:id="37" w:name="PCR_Version_template_comment_3"/>
            <w:r w:rsidRPr="000939DB">
              <w:rPr>
                <w:rFonts w:eastAsia="MS Mincho"/>
                <w:sz w:val="20"/>
                <w:lang w:val="en-US" w:eastAsia="ja-JP" w:bidi="de-DE"/>
              </w:rPr>
              <w:t xml:space="preserve">  </w:t>
            </w:r>
            <w:bookmarkEnd w:id="37"/>
          </w:p>
        </w:tc>
        <w:tc>
          <w:tcPr>
            <w:tcW w:w="1310" w:type="dxa"/>
          </w:tcPr>
          <w:p w:rsidR="006755A8" w:rsidRPr="000939DB" w:rsidP="006755A8">
            <w:pPr>
              <w:pStyle w:val="Standa"/>
              <w:spacing w:before="120" w:after="120" w:line="240" w:lineRule="auto"/>
              <w:jc w:val="left"/>
              <w:rPr>
                <w:lang w:val="en-US"/>
              </w:rPr>
            </w:pPr>
            <w:bookmarkStart w:id="38" w:name="PCR_Version_template_comment_Stand_3"/>
            <w:r w:rsidRPr="000939DB">
              <w:rPr>
                <w:lang w:val="en-US"/>
              </w:rPr>
              <w:t xml:space="preserve">  </w:t>
            </w:r>
            <w:bookmarkEnd w:id="38"/>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9" w:name="PCR_Version_template_4"/>
            <w:r w:rsidRPr="000939DB">
              <w:rPr>
                <w:lang w:val="en-US"/>
              </w:rPr>
              <w:t xml:space="preserve">  </w:t>
            </w:r>
            <w:bookmarkEnd w:id="39"/>
          </w:p>
        </w:tc>
        <w:tc>
          <w:tcPr>
            <w:tcW w:w="5069" w:type="dxa"/>
          </w:tcPr>
          <w:p w:rsidR="006755A8" w:rsidRPr="000939DB" w:rsidP="006755A8">
            <w:pPr>
              <w:pStyle w:val="Standa"/>
              <w:spacing w:before="120" w:after="120" w:line="240" w:lineRule="auto"/>
              <w:jc w:val="left"/>
              <w:rPr>
                <w:lang w:val="en-US"/>
              </w:rPr>
            </w:pPr>
            <w:bookmarkStart w:id="40" w:name="PCR_Version_template_comment_4"/>
            <w:r w:rsidRPr="000939DB">
              <w:rPr>
                <w:lang w:val="en-US"/>
              </w:rPr>
              <w:t xml:space="preserve">  </w:t>
            </w:r>
            <w:bookmarkEnd w:id="40"/>
          </w:p>
        </w:tc>
        <w:tc>
          <w:tcPr>
            <w:tcW w:w="1310" w:type="dxa"/>
          </w:tcPr>
          <w:p w:rsidR="006755A8" w:rsidRPr="000939DB" w:rsidP="006755A8">
            <w:pPr>
              <w:pStyle w:val="Standa"/>
              <w:spacing w:before="120" w:after="120" w:line="240" w:lineRule="auto"/>
              <w:jc w:val="left"/>
              <w:rPr>
                <w:lang w:val="en-US"/>
              </w:rPr>
            </w:pPr>
            <w:bookmarkStart w:id="41" w:name="PCR_Version_template_comment_Stand_4"/>
            <w:r w:rsidRPr="000939DB">
              <w:rPr>
                <w:lang w:val="en-US"/>
              </w:rPr>
              <w:t xml:space="preserve">  </w:t>
            </w:r>
            <w:bookmarkEnd w:id="41"/>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2" w:name="PCR_Version_template_5"/>
            <w:r>
              <w:rPr>
                <w:lang w:val="en-US"/>
              </w:rPr>
              <w:t xml:space="preserve">  </w:t>
            </w:r>
            <w:bookmarkEnd w:id="42"/>
          </w:p>
        </w:tc>
        <w:tc>
          <w:tcPr>
            <w:tcW w:w="5069" w:type="dxa"/>
          </w:tcPr>
          <w:p w:rsidR="00B72B96" w:rsidRPr="000939DB" w:rsidP="006755A8">
            <w:pPr>
              <w:pStyle w:val="Standa"/>
              <w:spacing w:before="120" w:after="120" w:line="240" w:lineRule="auto"/>
              <w:jc w:val="left"/>
              <w:rPr>
                <w:lang w:val="en-US"/>
              </w:rPr>
            </w:pPr>
            <w:bookmarkStart w:id="43" w:name="PCR_Version_template_comment_5"/>
            <w:r>
              <w:rPr>
                <w:lang w:val="en-US"/>
              </w:rPr>
              <w:t xml:space="preserve">  </w:t>
            </w:r>
            <w:bookmarkEnd w:id="43"/>
          </w:p>
        </w:tc>
        <w:tc>
          <w:tcPr>
            <w:tcW w:w="1310" w:type="dxa"/>
          </w:tcPr>
          <w:p w:rsidR="00B72B96" w:rsidRPr="000939DB" w:rsidP="006755A8">
            <w:pPr>
              <w:pStyle w:val="Standa"/>
              <w:spacing w:before="120" w:after="120" w:line="240" w:lineRule="auto"/>
              <w:jc w:val="left"/>
              <w:rPr>
                <w:lang w:val="en-US"/>
              </w:rPr>
            </w:pPr>
            <w:bookmarkStart w:id="44" w:name="PCR_Version_template_comment_Stand_5"/>
            <w:r>
              <w:rPr>
                <w:lang w:val="en-US"/>
              </w:rPr>
              <w:t xml:space="preserve">  </w:t>
            </w:r>
            <w:bookmarkEnd w:id="44"/>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5" w:name="PCR_Version_template_6"/>
            <w:r>
              <w:rPr>
                <w:lang w:val="en-US"/>
              </w:rPr>
              <w:t xml:space="preserve">  </w:t>
            </w:r>
            <w:bookmarkEnd w:id="45"/>
          </w:p>
        </w:tc>
        <w:tc>
          <w:tcPr>
            <w:tcW w:w="5069" w:type="dxa"/>
          </w:tcPr>
          <w:p w:rsidR="00B72B96" w:rsidRPr="000939DB" w:rsidP="006755A8">
            <w:pPr>
              <w:pStyle w:val="Standa"/>
              <w:spacing w:before="120" w:after="120" w:line="240" w:lineRule="auto"/>
              <w:jc w:val="left"/>
              <w:rPr>
                <w:lang w:val="en-US"/>
              </w:rPr>
            </w:pPr>
            <w:bookmarkStart w:id="46" w:name="PCR_Version_template_comment_6"/>
            <w:r>
              <w:rPr>
                <w:lang w:val="en-US"/>
              </w:rPr>
              <w:t xml:space="preserve">  </w:t>
            </w:r>
            <w:bookmarkEnd w:id="46"/>
          </w:p>
        </w:tc>
        <w:tc>
          <w:tcPr>
            <w:tcW w:w="1310" w:type="dxa"/>
          </w:tcPr>
          <w:p w:rsidR="00B72B96" w:rsidRPr="000939DB" w:rsidP="006755A8">
            <w:pPr>
              <w:pStyle w:val="Standa"/>
              <w:spacing w:before="120" w:after="120" w:line="240" w:lineRule="auto"/>
              <w:jc w:val="left"/>
              <w:rPr>
                <w:lang w:val="en-US"/>
              </w:rPr>
            </w:pPr>
            <w:bookmarkStart w:id="47" w:name="PCR_Version_template_comment_Stand_6"/>
            <w:r>
              <w:rPr>
                <w:lang w:val="en-US"/>
              </w:rPr>
              <w:t xml:space="preserve">  </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Erstveröffentlichung der PCR</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05.05.2015</w:t>
            </w:r>
            <w:bookmarkEnd w:id="5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1" w:name="PCR_Version_specific_1"/>
            <w:r>
              <w:t xml:space="preserve">  </w:t>
            </w:r>
            <w:bookmarkEnd w:id="51"/>
          </w:p>
        </w:tc>
        <w:tc>
          <w:tcPr>
            <w:tcW w:w="5069" w:type="dxa"/>
          </w:tcPr>
          <w:p w:rsidR="007742AD" w:rsidP="006755A8">
            <w:pPr>
              <w:pStyle w:val="Standa"/>
              <w:spacing w:before="120" w:after="120" w:line="240" w:lineRule="auto"/>
              <w:jc w:val="left"/>
            </w:pPr>
            <w:bookmarkStart w:id="52" w:name="PCR_Version_specific_comment_1"/>
            <w:r>
              <w:t xml:space="preserve">  </w:t>
            </w:r>
            <w:bookmarkEnd w:id="52"/>
          </w:p>
        </w:tc>
        <w:tc>
          <w:tcPr>
            <w:tcW w:w="1310" w:type="dxa"/>
          </w:tcPr>
          <w:p w:rsidR="007742AD" w:rsidP="006755A8">
            <w:pPr>
              <w:pStyle w:val="Standa"/>
              <w:spacing w:before="120" w:after="120" w:line="240" w:lineRule="auto"/>
              <w:jc w:val="left"/>
            </w:pPr>
            <w:bookmarkStart w:id="53" w:name="PCR_Version_Stand_specific_1"/>
            <w:r>
              <w:t xml:space="preserve">  </w:t>
            </w:r>
            <w:bookmarkEnd w:id="53"/>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4" w:name="PCR_Version_specific_2"/>
            <w:r>
              <w:t xml:space="preserve">  </w:t>
            </w:r>
            <w:bookmarkEnd w:id="54"/>
          </w:p>
        </w:tc>
        <w:tc>
          <w:tcPr>
            <w:tcW w:w="5069" w:type="dxa"/>
          </w:tcPr>
          <w:p w:rsidR="007742AD" w:rsidP="006755A8">
            <w:pPr>
              <w:pStyle w:val="Standa"/>
              <w:spacing w:before="120" w:after="120" w:line="240" w:lineRule="auto"/>
              <w:jc w:val="left"/>
            </w:pPr>
            <w:bookmarkStart w:id="55" w:name="PCR_Version_specific_comment_2"/>
            <w:r>
              <w:t xml:space="preserve">  </w:t>
            </w:r>
            <w:bookmarkEnd w:id="55"/>
          </w:p>
        </w:tc>
        <w:tc>
          <w:tcPr>
            <w:tcW w:w="1310" w:type="dxa"/>
          </w:tcPr>
          <w:p w:rsidR="007742AD" w:rsidP="006755A8">
            <w:pPr>
              <w:pStyle w:val="Standa"/>
              <w:spacing w:before="120" w:after="120" w:line="240" w:lineRule="auto"/>
              <w:jc w:val="left"/>
            </w:pPr>
            <w:bookmarkStart w:id="56" w:name="PCR_Version_Stand_2"/>
            <w:bookmarkStart w:id="57" w:name="PCR_Version_Stand_specific_2"/>
            <w:r>
              <w:t xml:space="preserve">  </w:t>
            </w:r>
            <w:bookmarkEnd w:id="56"/>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Einblasdämmstoffe aus Zellulose- und Holzfasern  </w:t>
      </w:r>
      <w:bookmarkEnd w:id="70"/>
    </w:p>
    <w:p w:rsidR="00063F32" w:rsidP="002F4958">
      <w:pPr>
        <w:pStyle w:val="Aufzhlung"/>
        <w:numPr>
          <w:ilvl w:val="0"/>
          <w:numId w:val="0"/>
        </w:numPr>
        <w:tabs>
          <w:tab w:val="left" w:pos="709"/>
          <w:tab w:val="clear" w:pos="2477"/>
        </w:tabs>
        <w:spacing w:before="240"/>
        <w:ind w:left="340"/>
      </w:pPr>
      <w:bookmarkStart w:id="71" w:name="PCR_Geltungsbereich_weiteres"/>
      <w:r>
        <w:t xml:space="preserve">  </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2"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Holzwerkstoffe: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gilt insbesondere: bezüglich der Leimflotte kann das Produkt alternativ mit dem Mix der am Markt befindlichen Leimsysteme (durchschnittliche Leimflotte) oder mit spezifischen Daten bilanziert werden. Der gewählte Ansatz ist zu dokumentieren.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als Verbrauch erneuerbarer Energieträger zu bilanzieren. Wird Altholz eingesetzt, so ist analog das im Altholz bzw. in den rezyklierten Holzfasern gebundene CO2 auf der Inputseite mit dem entsprechenden negativen GWP zu berücksichtigen; der Energiegehalt (Hu) wird als Verbrauch von „Einsatz von erneuerbaren Sekundärbrennstoffen“ bzw. als „Einsatz von Sekundärstoffen“ bilanziert.</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25D4">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25D4"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25D4">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25D4"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25D4"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12.2017</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Einblasdämmstoffe aus losen, getrockneten Zellulose- oder Holzfasern dienen der hohlraumfreien Wärmedämmung von Bauteil-Gefachbereichen in Wand-, Dach- und Deckenkonstruktionen, sowie alternativ als frei aufgeblasene Wärmedämmung auf Decken. Dabei kommen additiv Brandschutzmittel zum Einsatz. Die Verarbeitung erfolgt mittels Einblasmaschinen durch Fachpersonal. Der Einblasvorgang kann sowohl industriell in der Vorfertigung als auch baustellenseitig erfolgen.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Setzmaß</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18393, Methode A- Setzmaß nach Schlaganregung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Setzmaß</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18393, Methode C- Setzmaß nach Vibration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Wasseraufnahme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EN1609 bei einer Dicke von 10 cm und einer Dichte von 30 bzw. 60 kg/m³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µ (bezogen auf angegebene 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Strömungswiderstand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EN29053 bei 30 kg/m³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²</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Nennwert Einblasverfahren (bezogen auf angegebene 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Nennwert Sprühverfahren (bezogen auf angegebene 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Brandverhalten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Klassifizierung nach EN 13501-1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Resistenz gegen biologische Einwirkung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Annex C des CUAPs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Metallkorrosion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Annex E des CUAPs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Feuchte Umrechnungsfaktor Fm der Wärmeleitfähigkeit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(23°C 50% rel. Luftfeuchte -23° 80% relative Luftfeuchte)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Dichtebereich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in Abhängigkeit des Anwendungsbereichs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Vertikaler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Außenwand und Zwischenwandhohlräume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Geneigt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Einblasdämmung in Hohlräumen unter Dachabdichtung &gt;10° Neigung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Horizontal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Einblasdämmung in Flachdach- Deckenhohlräume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Horizontal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Freiliegende nicht begehbare Aufblasdämmung für Deckenkonstruktionen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r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kg Dämmstoff.</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Hinweis: für die Bilanzierung auf Gebäudeebene sind je nach Anwendungsfall unterschiedliche Dichten anzunehmen (s. Technische Daten).</w:t>
      </w:r>
      <w:bookmarkEnd w:id="148"/>
      <w:r w:rsidR="00AD5163">
        <w:t xml:space="preserve"> </w:t>
      </w:r>
      <w:bookmarkEnd w:id="147"/>
      <w:bookmarkStart w:id="149" w:name="PCRLCA_3_1_dekl_Einheit"/>
    </w:p>
    <w:p w:rsidR="001F526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(bezogen auf angegebene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RemoveA1_biogener_Kohlenstoff"/>
      <w:r w:rsidRPr="00B92C4A">
        <w:t>Biogener Kohlenstoff</w:t>
      </w:r>
    </w:p>
    <w:p w:rsidR="00615475" w:rsidP="00615475">
      <w:pPr>
        <w:rPr>
          <w:highlight w:val="yellow"/>
        </w:rPr>
      </w:pPr>
      <w:bookmarkStart w:id="183"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720592">
      <w:r>
        <w:t xml:space="preserve">Notiz: 1 kg biogener Kohlenstoff ist äquivalent zu 44/12 kg </w:t>
      </w:r>
      <w:r w:rsidRPr="00720592">
        <w:t>CO</w:t>
      </w:r>
      <w:r w:rsidR="00720592">
        <w:rPr>
          <w:vertAlign w:val="subscript"/>
        </w:rPr>
        <w:t>2</w:t>
      </w:r>
      <w:r w:rsidR="00720592">
        <w:t xml:space="preserve"> </w:t>
      </w:r>
      <w:bookmarkEnd w:id="183"/>
      <w:r w:rsidR="00E85E91">
        <w:t xml:space="preserve"> </w:t>
      </w:r>
      <w:bookmarkStart w:id="184" w:name="PCRLCA_Kapitel_4_biogener_Kohlenstoff"/>
      <w:r w:rsidR="00520B46">
        <w:t xml:space="preserve"> </w:t>
      </w:r>
      <w:bookmarkEnd w:id="184"/>
    </w:p>
    <w:p w:rsidR="00EA1B9A" w:rsidRPr="00321961" w:rsidP="006C2F0F">
      <w:pPr>
        <w:pStyle w:val="StandardtechnDateneinspaltig"/>
        <w:tabs>
          <w:tab w:val="clear" w:pos="4111"/>
          <w:tab w:val="right" w:pos="4395"/>
        </w:tabs>
        <w:ind w:left="0"/>
      </w:pPr>
      <w:bookmarkEnd w:id="182"/>
    </w:p>
    <w:p w:rsidR="00063F32" w:rsidRPr="00321961" w:rsidP="00A300D9">
      <w:pPr>
        <w:pStyle w:val="StandardFett"/>
      </w:pPr>
      <w:bookmarkStart w:id="185" w:name="PCRTemplate_LCA_Heading"/>
      <w:bookmarkEnd w:id="185"/>
      <w:bookmarkStart w:id="186" w:name="PCRTemplate_LCA_Property"/>
      <w:bookmarkEnd w:id="186"/>
    </w:p>
    <w:p w:rsidR="00BE2D9B" w:rsidP="00AD2134">
      <w:pPr>
        <w:pStyle w:val="StandardtechnDateneinspaltig"/>
        <w:tabs>
          <w:tab w:val="clear" w:pos="4111"/>
          <w:tab w:val="right" w:pos="4395"/>
        </w:tabs>
        <w:ind w:left="0"/>
      </w:pPr>
      <w:bookmarkStart w:id="187" w:name="PCRTemplate_LCA_Text"/>
      <w:bookmarkEnd w:id="187"/>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8"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8"/>
      <w:r w:rsidRPr="00A007D7">
        <w:rPr>
          <w:szCs w:val="18"/>
        </w:rPr>
        <w:t xml:space="preserve">ANGABE DER SYSTEMGRENZEN (X = IN ÖKOBILANZ ENTHALTEN; </w:t>
      </w:r>
      <w:bookmarkStart w:id="189" w:name="IBUProp_T0_Modul"/>
      <w:r w:rsidRPr="00A007D7">
        <w:rPr>
          <w:szCs w:val="18"/>
        </w:rPr>
        <w:t xml:space="preserve">ND = MODUL </w:t>
      </w:r>
      <w:r w:rsidR="00572663">
        <w:rPr>
          <w:szCs w:val="18"/>
        </w:rPr>
        <w:t xml:space="preserve">ODER INDIKATOR </w:t>
      </w:r>
      <w:r w:rsidRPr="00A007D7">
        <w:rPr>
          <w:szCs w:val="18"/>
        </w:rPr>
        <w:t>NICHT DEKLARIERT</w:t>
      </w:r>
      <w:bookmarkEnd w:id="189"/>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0" w:name="IBULCA_T0_A1"/>
            <w:r>
              <w:rPr>
                <w:rFonts w:cs="Arial"/>
                <w:sz w:val="16"/>
                <w:szCs w:val="14"/>
              </w:rPr>
              <w:t xml:space="preserve"> </w:t>
            </w:r>
            <w:bookmarkEnd w:id="19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2"/>
            <w:r>
              <w:rPr>
                <w:rFonts w:cs="Arial"/>
                <w:sz w:val="16"/>
                <w:szCs w:val="14"/>
              </w:rPr>
              <w:t xml:space="preserve"> </w:t>
            </w:r>
            <w:bookmarkEnd w:id="19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3"/>
            <w:r>
              <w:rPr>
                <w:rFonts w:cs="Arial"/>
                <w:sz w:val="16"/>
                <w:szCs w:val="14"/>
              </w:rPr>
              <w:t xml:space="preserve"> </w:t>
            </w:r>
            <w:bookmarkEnd w:id="19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4"/>
            <w:r>
              <w:rPr>
                <w:rFonts w:cs="Arial"/>
                <w:sz w:val="16"/>
                <w:szCs w:val="14"/>
              </w:rPr>
              <w:t xml:space="preserve"> </w:t>
            </w:r>
            <w:bookmarkEnd w:id="19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5"/>
            <w:r>
              <w:rPr>
                <w:rFonts w:cs="Arial"/>
                <w:sz w:val="16"/>
                <w:szCs w:val="14"/>
              </w:rPr>
              <w:t xml:space="preserve"> </w:t>
            </w:r>
            <w:bookmarkEnd w:id="19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1"/>
            <w:r>
              <w:rPr>
                <w:rFonts w:cs="Arial"/>
                <w:sz w:val="16"/>
                <w:szCs w:val="14"/>
              </w:rPr>
              <w:t xml:space="preserve"> </w:t>
            </w:r>
            <w:bookmarkEnd w:id="19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2"/>
            <w:r>
              <w:rPr>
                <w:rFonts w:cs="Arial"/>
                <w:sz w:val="16"/>
                <w:szCs w:val="14"/>
              </w:rPr>
              <w:t xml:space="preserve"> </w:t>
            </w:r>
            <w:bookmarkEnd w:id="19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3"/>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4"/>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5"/>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6"/>
            <w:r>
              <w:rPr>
                <w:rFonts w:cs="Arial"/>
                <w:sz w:val="16"/>
                <w:szCs w:val="14"/>
              </w:rPr>
              <w:t xml:space="preserve"> </w:t>
            </w:r>
            <w:bookmarkEnd w:id="20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7"/>
            <w:r>
              <w:rPr>
                <w:rFonts w:cs="Arial"/>
                <w:sz w:val="16"/>
                <w:szCs w:val="14"/>
              </w:rPr>
              <w:t xml:space="preserve"> </w:t>
            </w:r>
            <w:bookmarkEnd w:id="20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1"/>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2"/>
            <w:r>
              <w:rPr>
                <w:rFonts w:cs="Arial"/>
                <w:sz w:val="16"/>
                <w:szCs w:val="14"/>
              </w:rPr>
              <w:t xml:space="preserve"> </w:t>
            </w:r>
            <w:bookmarkEnd w:id="20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3"/>
            <w:r>
              <w:rPr>
                <w:rFonts w:cs="Arial"/>
                <w:sz w:val="16"/>
                <w:szCs w:val="14"/>
              </w:rPr>
              <w:t xml:space="preserve"> </w:t>
            </w:r>
            <w:bookmarkEnd w:id="20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4"/>
            <w:r>
              <w:rPr>
                <w:rFonts w:cs="Arial"/>
                <w:sz w:val="16"/>
                <w:szCs w:val="14"/>
              </w:rPr>
              <w:t xml:space="preserve"> </w:t>
            </w:r>
            <w:bookmarkEnd w:id="20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D"/>
            <w:r>
              <w:rPr>
                <w:rFonts w:cs="Arial"/>
                <w:sz w:val="16"/>
                <w:szCs w:val="14"/>
              </w:rPr>
              <w:t xml:space="preserve"> </w:t>
            </w:r>
            <w:bookmarkEnd w:id="206"/>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7" w:name="IBUProp_T1_Norm"/>
      <w:r w:rsidR="00550C43">
        <w:t>EN 15804+A2</w:t>
      </w:r>
      <w:bookmarkEnd w:id="207"/>
      <w:r w:rsidRPr="00A007D7">
        <w:t xml:space="preserve">: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Prop_T1_Header1"/>
            <w:bookmarkStart w:id="210" w:name="IBULCA_T1" w:colFirst="0" w:colLast="3"/>
            <w:r>
              <w:rPr>
                <w:rFonts w:cs="Arial"/>
                <w:b/>
                <w:bCs/>
                <w:sz w:val="14"/>
                <w:szCs w:val="14"/>
              </w:rPr>
              <w:t>Kernindikator</w:t>
            </w:r>
            <w:bookmarkEnd w:id="20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1" w:name="IBUProp_T1_Header2"/>
            <w:r>
              <w:rPr>
                <w:rFonts w:cs="Arial"/>
                <w:b/>
                <w:bCs/>
                <w:sz w:val="14"/>
                <w:szCs w:val="14"/>
              </w:rPr>
              <w:t>Kernindikator</w:t>
            </w:r>
            <w:bookmarkEnd w:id="21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2" w:name="IBUProp_LcaRow_GWP"/>
            <w:r w:rsidRPr="002D3377">
              <w:rPr>
                <w:rFonts w:cs="Arial"/>
                <w:spacing w:val="-4"/>
                <w:sz w:val="14"/>
                <w:szCs w:val="14"/>
              </w:rPr>
              <w:t>GWP</w:t>
            </w:r>
            <w:bookmarkEnd w:id="21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total"/>
            <w:r w:rsidRPr="002D3377">
              <w:rPr>
                <w:rFonts w:cs="Arial"/>
                <w:spacing w:val="-4"/>
                <w:sz w:val="14"/>
                <w:szCs w:val="14"/>
              </w:rPr>
              <w:t>GWP</w:t>
            </w:r>
            <w:r>
              <w:rPr>
                <w:rFonts w:cs="Arial"/>
                <w:spacing w:val="-4"/>
                <w:sz w:val="14"/>
                <w:szCs w:val="14"/>
              </w:rPr>
              <w:t>-total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fossil"/>
            <w:r w:rsidRPr="002D3377">
              <w:rPr>
                <w:rFonts w:cs="Arial"/>
                <w:spacing w:val="-4"/>
                <w:sz w:val="14"/>
                <w:szCs w:val="14"/>
              </w:rPr>
              <w:t>GWP</w:t>
            </w:r>
            <w:r>
              <w:rPr>
                <w:rFonts w:cs="Arial"/>
                <w:spacing w:val="-4"/>
                <w:sz w:val="14"/>
                <w:szCs w:val="14"/>
              </w:rPr>
              <w:t>-fossil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ODP"/>
            <w:r w:rsidRPr="002D3377">
              <w:rPr>
                <w:rFonts w:cs="Arial"/>
                <w:spacing w:val="-4"/>
                <w:sz w:val="14"/>
                <w:szCs w:val="14"/>
              </w:rPr>
              <w:t>ODP</w:t>
            </w:r>
            <w:bookmarkEnd w:id="217"/>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AP"/>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AP_a2"/>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EP"/>
            <w:r w:rsidRPr="002D3377">
              <w:rPr>
                <w:rFonts w:cs="Arial"/>
                <w:spacing w:val="-4"/>
                <w:sz w:val="14"/>
                <w:szCs w:val="14"/>
              </w:rPr>
              <w:t>EP</w:t>
            </w:r>
            <w:bookmarkEnd w:id="22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POCP"/>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POCP_a2"/>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ADPE"/>
            <w:r w:rsidRPr="002D3377">
              <w:rPr>
                <w:rFonts w:cs="Arial"/>
                <w:spacing w:val="-4"/>
                <w:sz w:val="14"/>
                <w:szCs w:val="14"/>
              </w:rPr>
              <w:t>ADPE</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7" w:name="IBUProp_LcaRow_ADPF"/>
            <w:r w:rsidRPr="002D3377">
              <w:rPr>
                <w:rFonts w:cs="Arial"/>
                <w:spacing w:val="-4"/>
                <w:sz w:val="14"/>
                <w:szCs w:val="14"/>
              </w:rPr>
              <w:t>ADPF</w:t>
            </w:r>
            <w:bookmarkEnd w:id="227"/>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WDP"/>
            <w:r>
              <w:rPr>
                <w:rFonts w:cs="Arial"/>
                <w:spacing w:val="-4"/>
                <w:sz w:val="14"/>
                <w:szCs w:val="14"/>
              </w:rPr>
              <w:t>WDP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0"/>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Wassernutzung</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3"/>
      <w:bookmarkEnd w:id="246"/>
      <w:bookmarkStart w:id="247" w:name="EPDEdit_Kapitel_5_Outro"/>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w:t>
      </w:r>
      <w:bookmarkEnd w:id="254"/>
      <w:r w:rsidR="00A85DD5">
        <w:t xml:space="preserve"> </w:t>
      </w:r>
      <w:r w:rsidR="007F464E">
        <w:t xml:space="preserve"> </w:t>
      </w:r>
      <w:bookmarkEnd w:id="253"/>
      <w:r w:rsidR="008E1FD5">
        <w:t xml:space="preserve"> </w:t>
      </w:r>
      <w:bookmarkStart w:id="255" w:name="PCRLCA_Kapitel_7_Nachweis_1"/>
      <w:r w:rsidR="00F87FC2">
        <w:t xml:space="preserve"> </w:t>
      </w:r>
      <w:r w:rsidR="007F464E">
        <w:t xml:space="preserve"> </w:t>
      </w:r>
      <w:bookmarkEnd w:id="255"/>
      <w:r w:rsidR="007F464E">
        <w:t xml:space="preserve"> </w:t>
      </w:r>
      <w:bookmarkStart w:id="256" w:name="EPDEdit_ibu_Kapitel_7_Nachweis_2"/>
      <w:r w:rsidR="00A85DD5">
        <w:t xml:space="preserve"> </w:t>
      </w:r>
      <w:r w:rsidR="007F464E">
        <w:t xml:space="preserve"> </w:t>
      </w:r>
      <w:bookmarkStart w:id="257"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Prüfung auf Vorbehandlung der Einsatzstoffe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Messung nach AltholzVO (gilt nur in Deutschland)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(Holzschutzmittelwirkstoffe, Schwermetalle, etc.).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Nur anzuwenden für Holzwerkstoffe, die in den Grundstoffen als Ressource „Altholz“ angeben.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7.2     Toxizität der Brandgase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DIN 53436.</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Der VOC Nachweis ist bei verkürzter Gültigkeit der EPD (1 Jahr) optional.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7"/>
      <w:r w:rsidR="00A85DD5">
        <w:t xml:space="preserve"> </w:t>
      </w:r>
      <w:r w:rsidR="008E1FD5">
        <w:t xml:space="preserve"> </w:t>
      </w:r>
      <w:bookmarkEnd w:id="256"/>
      <w:r w:rsidR="007F464E">
        <w:t xml:space="preserve"> </w:t>
      </w:r>
      <w:bookmarkStart w:id="258" w:name="PCRLCA_Kapitel_7_Nachweis_2"/>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 Ergebnisüberblick (28 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58"/>
      <w:r>
        <w:t xml:space="preserve"> </w:t>
      </w:r>
      <w:bookmarkStart w:id="259" w:name="EPDEdit_ibu_Kapitel_7_Nachweis_3"/>
      <w:r w:rsidR="00A85DD5">
        <w:t xml:space="preserve"> </w:t>
      </w:r>
      <w:r>
        <w:t xml:space="preserve"> </w:t>
      </w:r>
      <w:bookmarkStart w:id="260" w:name="PCR_7_Nachweis_3"/>
      <w:r>
        <w:t xml:space="preserve">   </w:t>
      </w:r>
      <w:bookmarkEnd w:id="260"/>
      <w:r w:rsidR="00A85DD5">
        <w:t xml:space="preserve"> </w:t>
      </w:r>
      <w:r w:rsidR="008E1FD5">
        <w:t xml:space="preserve"> </w:t>
      </w:r>
      <w:bookmarkEnd w:id="259"/>
      <w:r>
        <w:t xml:space="preserve"> </w:t>
      </w:r>
      <w:bookmarkStart w:id="261" w:name="PCRLCA_Kapitel_7_Nachweis_3"/>
      <w:r w:rsidR="002233ED">
        <w:t xml:space="preserve"> </w:t>
      </w:r>
      <w:r>
        <w:t xml:space="preserve"> </w:t>
      </w:r>
      <w:bookmarkEnd w:id="261"/>
      <w:r>
        <w:t xml:space="preserve"> </w:t>
      </w:r>
      <w:bookmarkStart w:id="262" w:name="EPDEdit_ibu_Kapitel_7_Nachweis_4"/>
      <w:r w:rsidR="00A85DD5">
        <w:t xml:space="preserve"> </w:t>
      </w:r>
      <w:r>
        <w:t xml:space="preserve"> </w:t>
      </w:r>
      <w:bookmarkStart w:id="263" w:name="PCR_7_Nachweis_4"/>
      <w:r w:rsidR="008E1FD5">
        <w:t xml:space="preserve"> </w:t>
      </w:r>
      <w:r>
        <w:t xml:space="preserve">  </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sidR="008E1FD5">
        <w:t xml:space="preserve"> </w:t>
      </w:r>
      <w:r>
        <w:t xml:space="preserve">  </w:t>
      </w:r>
      <w:bookmarkEnd w:id="266"/>
      <w:r w:rsidR="00A85DD5">
        <w:t xml:space="preserve"> </w:t>
      </w:r>
      <w:r>
        <w:t xml:space="preserve"> </w:t>
      </w:r>
      <w:bookmarkEnd w:id="265"/>
      <w:r w:rsidR="008E1FD5">
        <w:t xml:space="preserve"> </w:t>
      </w:r>
      <w:bookmarkStart w:id="267" w:name="PCRLCA_Kapitel_7_Nachweis_5"/>
      <w:r>
        <w:t xml:space="preserve">  </w:t>
      </w:r>
      <w:bookmarkEnd w:id="267"/>
      <w:r w:rsidR="00906C91">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r w:rsidR="00906C91">
        <w:t xml:space="preserve"> </w:t>
      </w:r>
      <w:r>
        <w:t xml:space="preserve"> </w:t>
      </w:r>
      <w:bookmarkEnd w:id="270"/>
      <w:r w:rsidR="008E1FD5">
        <w:t xml:space="preserve"> </w:t>
      </w:r>
      <w: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25D4"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25D4"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25D4"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25D4"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25D4"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A36FB4">
    <w:pPr>
      <w:pStyle w:val="Header"/>
      <w:tabs>
        <w:tab w:val="left" w:pos="2310"/>
        <w:tab w:val="clear" w:pos="4536"/>
        <w:tab w:val="clear" w:pos="9072"/>
      </w:tabs>
      <w:jc w:val="right"/>
      <w:rPr>
        <w:rFonts w:cs="Arial"/>
        <w:sz w:val="28"/>
        <w:szCs w:val="28"/>
      </w:rPr>
    </w:pPr>
  </w:p>
  <w:p w:rsidR="004325D4"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25D4"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20D-1E3D-4B9B-9516-D7EFDD1B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33095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7</cp:revision>
  <cp:lastPrinted>2012-03-14T16:45:00Z</cp:lastPrinted>
  <dcterms:created xsi:type="dcterms:W3CDTF">2019-11-25T12:28:00Z</dcterms:created>
  <dcterms:modified xsi:type="dcterms:W3CDTF">2019-11-26T10:31:00Z</dcterms:modified>
</cp:coreProperties>
</file>