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Bodenbeläge</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p>
        </w:tc>
        <w:tc>
          <w:tcPr>
            <w:tcW w:w="5069" w:type="dxa"/>
          </w:tcPr>
          <w:p w:rsidR="007742AD" w:rsidP="006755A8">
            <w:pPr>
              <w:pStyle w:val="Standa"/>
              <w:numPr>
                <w:ilvl w:val="0"/>
                <w:numId w:val="0"/>
              </w:numPr>
              <w:spacing w:before="120" w:after="120" w:line="240" w:lineRule="auto"/>
              <w:jc w:val="left"/>
            </w:pPr>
            <w:bookmarkEnd w:id="30"/>
            <w:bookmarkStart w:id="32" w:name="PCR_Version_template_comment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p>
        </w:tc>
        <w:tc>
          <w:tcPr>
            <w:tcW w:w="1310" w:type="dxa"/>
          </w:tcPr>
          <w:p w:rsidR="007742AD" w:rsidRPr="000939DB" w:rsidP="006755A8">
            <w:pPr>
              <w:pStyle w:val="Standa"/>
              <w:numPr>
                <w:ilvl w:val="0"/>
                <w:numId w:val="0"/>
              </w:numPr>
              <w:spacing w:before="120" w:after="120" w:line="240" w:lineRule="auto"/>
              <w:jc w:val="left"/>
              <w:rPr>
                <w:lang w:val="en-US"/>
              </w:rPr>
            </w:pPr>
            <w:bookmarkEnd w:id="32"/>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1"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1"/>
          </w:p>
        </w:tc>
        <w:tc>
          <w:tcPr>
            <w:tcW w:w="5069" w:type="dxa"/>
          </w:tcPr>
          <w:p w:rsidR="007742AD" w:rsidP="006755A8">
            <w:pPr>
              <w:pStyle w:val="Standa"/>
              <w:numPr>
                <w:ilvl w:val="0"/>
                <w:numId w:val="0"/>
              </w:numPr>
              <w:spacing w:before="120" w:after="120" w:line="240" w:lineRule="auto"/>
              <w:jc w:val="left"/>
            </w:pPr>
            <w:bookmarkStart w:id="52"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Verweis auf PCR für Parkettboden</w:t>
            </w:r>
            <w:bookmarkEnd w:id="52"/>
          </w:p>
        </w:tc>
        <w:tc>
          <w:tcPr>
            <w:tcW w:w="1310" w:type="dxa"/>
          </w:tcPr>
          <w:p w:rsidR="007742AD" w:rsidP="006755A8">
            <w:pPr>
              <w:pStyle w:val="Standa"/>
              <w:numPr>
                <w:ilvl w:val="0"/>
                <w:numId w:val="0"/>
              </w:numPr>
              <w:spacing w:before="120" w:after="120" w:line="240" w:lineRule="auto"/>
              <w:jc w:val="left"/>
            </w:pPr>
            <w:bookmarkStart w:id="53"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25.07.2016</w:t>
            </w:r>
            <w:bookmarkEnd w:id="5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4"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4"/>
          </w:p>
        </w:tc>
        <w:tc>
          <w:tcPr>
            <w:tcW w:w="5069" w:type="dxa"/>
          </w:tcPr>
          <w:p w:rsidR="007742AD" w:rsidP="006755A8">
            <w:pPr>
              <w:pStyle w:val="Standa"/>
              <w:numPr>
                <w:ilvl w:val="0"/>
                <w:numId w:val="0"/>
              </w:numPr>
              <w:spacing w:before="120" w:after="120" w:line="240" w:lineRule="auto"/>
              <w:jc w:val="left"/>
            </w:pPr>
            <w:bookmarkStart w:id="55"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Aufnahme der EN 16810 in die bestehenden PCR für Bodenbeläge</w:t>
            </w:r>
            <w:bookmarkEnd w:id="55"/>
          </w:p>
        </w:tc>
        <w:tc>
          <w:tcPr>
            <w:tcW w:w="1310" w:type="dxa"/>
          </w:tcPr>
          <w:p w:rsidR="007742AD" w:rsidP="006755A8">
            <w:pPr>
              <w:pStyle w:val="Standa"/>
              <w:numPr>
                <w:ilvl w:val="0"/>
                <w:numId w:val="0"/>
              </w:numPr>
              <w:spacing w:before="120" w:after="120" w:line="240" w:lineRule="auto"/>
              <w:jc w:val="left"/>
            </w:pPr>
            <w:bookmarkStart w:id="56" w:name="PCR_Version_Stand_2"/>
            <w:bookmarkStart w:id="57"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14.02.2018</w:t>
            </w:r>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6"/>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Elastische Bodenbeläge aus Plastik, Linoleum, Kork oder Gummi, keine lose verlegten Matten;</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Bodenbeläge, keine lose verlegten Matten und Teppiche; </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Laminat-Bodenbeläge; </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Bodenpaneele zur losen Verlegung.</w:t>
      </w:r>
      <w:bookmarkEnd w:id="70"/>
    </w:p>
    <w:p w:rsidR="00063F32" w:rsidP="002F4958">
      <w:pPr>
        <w:pStyle w:val="Aufzhlung"/>
        <w:numPr>
          <w:ilvl w:val="0"/>
          <w:numId w:val="0"/>
        </w:numPr>
        <w:tabs>
          <w:tab w:val="left" w:pos="709"/>
          <w:tab w:val="clear" w:pos="2477"/>
        </w:tabs>
        <w:spacing w:before="240"/>
        <w:ind w:left="340"/>
        <w:rPr/>
      </w:pPr>
      <w:bookmarkStart w:id="71"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Gemäß EN 14041: 2004/AC: 2006, Elastische, textile und Laminat-Bodenbeläge - Wesentliche Eigenschaften.</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Nutzungsklassen sind in der EPD mithilfe der entsprechenden standardisierten Symbole nach CEN TS 15398 /4/ für Bodenbeläge anzugeben (Standardisierte Symbole für Bodenbeläge (FCSS), siehe auch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12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die Erstellung von EPDs für Holzfußböden und Parkett gemäß EN 14342 gelten die PCR Teil B Vollholzprodukte.</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2"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Aufnahme der EN 16810 in die bestehenden PCR für Bodenbeläge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PCR Norm der elastischen, textilen und Laminatbodenindustrie (TC 134) ist 2017 veröffentlicht worden (EN 16180: Elastische, textile und Laminat-Bodenbeläge - Umwelt-Produktdeklarationen – Produktkategorieregel).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IBU hat die Grundsatzentscheidung, dass c-PCRs in die IBU PCRs übernommen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 der EN 16810 werden folgende Regelungen in das IBU System übernommen: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1. Nutzungsdauer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Deklaration der Nutzungsdauer von 1 Jahr widerspricht nicht den IBU Regelungen, daher wird dies in die IBU PCR übernommen. Zusätzlich muss folgender Hinweis in der EPD erfolgen: "Je nach Nutzungsbereich basierend auf EN ISO 10874 , der vom Hersteller empfohlenen technischen Lebensdauer und der erwartbaren Beanspruchung des Bodens durch den Kunden kann fallspezifisch die Nutzungsdauer ermittelt werden. Die Auswirkungen des Moduls B2 müssen anhand dieser Nutzungsdauer errechnet werden, um die umweltbezogenen Gesamtauswirkungen zu ergeben."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2. Ausweisung des biogenen Kohlenstoffs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Regeln wie im PCR Teil A und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Regeln der EN 16485:2014 Rund- und Schnittholz - Umweltproduktdeklarationen - Produktkategorieregeln für Holz und Holzwerkstoffe im Bauwesen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Der Ressourcenaspekt von Holz ist über die materialinhärenten Eigenschaften als Ressourcenentnahme von CO2 aus der Atmosphäre und dem unteren Heizwert als Verbrauch erneuerbarer Energieträger zu bilanzieren.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Bei Sekundärmaterial(Altholz)  wird das gebundene CO2 auf der Inputseite mit dem entsprechenden negativen GWP berücksichtigt;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Analog wird bei Altholz, das rezykliert wird bzw. als Sekundärbrennstoff das zu bilanzierende Produktsystem verlässt, das in den zu rezyklierenden Holzfasern gebundene CO2 auf der Outputseite mit dem entsprechenden positiven GWP berücksichtigt.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Wird biogenes CO2 in den Module A1-A3 als Teil des GWP bilanziert, so muss zwingend das Modul deklariert werden, in dem das im Produkt oder in der Verpackung gebundene CO2 freigesetzt wird oder über Recycling bzw. als Sekundärbrennstoff den Bilanzraum verlässt.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Ausweisung biogenen Kohlenstoffs während des Lebensweges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Die Menge an biogenem Kohlenstoff, der im biologischen Stoff bzw. in der Verpackung enthalten ist, muss in demjenigen Modul deklariert werden, in dem der gespeicherte biogene Kohlenstoff als Teil des GWP verrechnet ist.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der Energiegehalt (Hu) wird als Verbrauch von „Einsatz von erneuerbaren Sekundärbrennstoffen“ bzw. als „Einsatz von Sekundärstoffen“ bilanziert.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 der EN 16810 wird folgender Regelungen nicht übernommen: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EN 16810 lässt die Deklaration von Toxizitätsindikatoren in der EPD zu. Dazu liegt dem IBU ein Antrag des ERFMI vor, diese in eine IBU EPD zu integrieren. Herr Dr. Lehmann schlägt vor, vor dem Hintergrund der Integration der ISO 21930 in die IBU Programmregeln, die Entscheidung über den Antrag von ERFMI zu vertagen und dies entsprechend an ERFMI zu kommunizieren.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EPDs die diesen Regeln folgen müssen die EN 16810 als zusätzliche Referenz bei den LCA Ergebnissen nennen.</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02/2018</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Produktdicke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Nutzschichtstärke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Abriebklasse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Produktform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Herstellungsart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Garntyp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Polfasergehalt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Gesamtdicke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Teppichgesamtgewicht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Noppen- bzw. Schlingenzahl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Polschichtgewicht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Zweitrücken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Elementdicke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 der Deckschicht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 der Deckschicht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 und Breite von quadratischen Elementen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spezifischen Konstruktions-/Zusammensetzungsparameter sowie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7.1     VOC Emissionen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Name der Prüfstelle, die Nummer der Prüfberichts und die Ergebnisse gemäß der im ECA-Bericht Nr. 18 beschriebenen Prüfverfahren sind anzugeben.</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sidR="007F464E">
        <w:t xml:space="preserve">   </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sidR="007F464E">
        <w:t xml:space="preserve">   </w:t>
      </w:r>
      <w:bookmarkEnd w:id="260"/>
      <w:r w:rsidR="00A85DD5">
        <w:t xml:space="preserve"> </w:t>
      </w:r>
      <w:r w:rsidR="008E1FD5">
        <w:t xml:space="preserve"> </w:t>
      </w:r>
      <w:bookmarkEnd w:id="259"/>
      <w:r w:rsidR="007F464E">
        <w:t xml:space="preserve"> </w:t>
      </w:r>
      <w:bookmarkStart w:id="261" w:name="PCRLCA_Kapitel_7_Nachweis_3"/>
      <w:r w:rsidR="002233ED">
        <w:t xml:space="preserve"> </w:t>
      </w:r>
      <w:r w:rsidR="007F464E">
        <w:t xml:space="preserve"> </w:t>
      </w:r>
      <w:bookmarkEnd w:id="261"/>
      <w:r w:rsidR="007F464E">
        <w:t xml:space="preserve"> </w:t>
      </w:r>
      <w:bookmarkStart w:id="262" w:name="EPDEdit_ibu_Kapitel_7_Nachweis_4"/>
      <w:r w:rsidR="00A85DD5">
        <w:t xml:space="preserve"> </w:t>
      </w:r>
      <w:r w:rsidR="007F464E">
        <w:t xml:space="preserve"> </w:t>
      </w:r>
      <w:bookmarkStart w:id="263" w:name="PCR_7_Nachweis_4"/>
      <w:r w:rsidR="008E1FD5">
        <w:t xml:space="preserve"> </w:t>
      </w:r>
      <w:r w:rsidR="007F464E">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rsidR="007F464E">
        <w:t xml:space="preserve">  </w:t>
      </w:r>
      <w:bookmarkEnd w:id="266"/>
      <w:r w:rsidR="00A85DD5">
        <w:t xml:space="preserve"> </w:t>
      </w:r>
      <w:r w:rsidR="007F464E">
        <w:t xml:space="preserve"> </w:t>
      </w:r>
      <w:bookmarkEnd w:id="265"/>
      <w:r w:rsidR="008E1FD5">
        <w:t xml:space="preserve"> </w:t>
      </w:r>
      <w:bookmarkStart w:id="267" w:name="PCRLCA_Kapitel_7_Nachweis_5"/>
      <w:r w:rsidR="007F464E">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rsidR="007F464E">
        <w:t xml:space="preserve"> </w:t>
      </w:r>
      <w:bookmarkEnd w:id="270"/>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